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/>
      </w:pPr>
      <w:bookmarkStart w:colFirst="0" w:colLast="0" w:name="_z7gaz7ha1nwz" w:id="0"/>
      <w:bookmarkEnd w:id="0"/>
      <w:r w:rsidDel="00000000" w:rsidR="00000000" w:rsidRPr="00000000">
        <w:rPr>
          <w:rtl w:val="0"/>
        </w:rPr>
        <w:t xml:space="preserve">CONSUMER MATH</w:t>
        <w:br w:type="textWrapping"/>
      </w:r>
      <w:r w:rsidDel="00000000" w:rsidR="00000000" w:rsidRPr="00000000">
        <w:rPr>
          <w:b w:val="0"/>
          <w:rtl w:val="0"/>
        </w:rPr>
        <w:t xml:space="preserve">Quarter 1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color w:val="8c7252"/>
        </w:rPr>
      </w:pPr>
      <w:bookmarkStart w:colFirst="0" w:colLast="0" w:name="_tb0pswljnfq9" w:id="1"/>
      <w:bookmarkEnd w:id="1"/>
      <w:r w:rsidDel="00000000" w:rsidR="00000000" w:rsidRPr="00000000">
        <w:rPr>
          <w:color w:val="8c7252"/>
          <w:rtl w:val="0"/>
        </w:rPr>
        <w:t xml:space="preserve">Study Guide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4" name="image6.png"/>
            <a:graphic>
              <a:graphicData uri="http://schemas.openxmlformats.org/drawingml/2006/picture">
                <pic:pic>
                  <pic:nvPicPr>
                    <pic:cNvPr descr="horizontal line"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highlight w:val="white"/>
        </w:rPr>
      </w:pPr>
      <w:bookmarkStart w:colFirst="0" w:colLast="0" w:name="_9ukhkp57avqn" w:id="2"/>
      <w:bookmarkEnd w:id="2"/>
      <w:r w:rsidDel="00000000" w:rsidR="00000000" w:rsidRPr="00000000">
        <w:rPr>
          <w:rtl w:val="0"/>
        </w:rPr>
        <w:t xml:space="preserve">Being Financially Responsible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highlight w:val="white"/>
          <w:rtl w:val="0"/>
        </w:rPr>
        <w:t xml:space="preserve">Current Money Skills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highlight w:val="white"/>
          <w:rtl w:val="0"/>
        </w:rPr>
        <w:t xml:space="preserve">Strategies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highlight w:val="white"/>
          <w:rtl w:val="0"/>
        </w:rPr>
        <w:t xml:space="preserve">Financial Lingo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Cost Comparison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Cost-Benefit Analysis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Calculating Future Expenses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Short- term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Mid-term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Long-term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Disposable income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Financial plan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Typical Monthly Budget Set-up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Income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Fixed Expenses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Variable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Identifying Financial Goals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Factors for Categorizing goals: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Time, Money, Want vs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sz w:val="20"/>
          <w:szCs w:val="20"/>
          <w:highlight w:val="white"/>
        </w:rPr>
      </w:pPr>
      <w:bookmarkStart w:colFirst="0" w:colLast="0" w:name="_ojuyfor003k7" w:id="3"/>
      <w:bookmarkEnd w:id="3"/>
      <w:r w:rsidDel="00000000" w:rsidR="00000000" w:rsidRPr="00000000">
        <w:rPr>
          <w:rtl w:val="0"/>
        </w:rPr>
        <w:t xml:space="preserve">Spreadsheets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 Symbols used for adding, subtracting, multiplying, dividing, and exponents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How to set-up functions correctly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Finding tax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Subtotals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Totals</w:t>
      </w:r>
    </w:p>
    <w:p w:rsidR="00000000" w:rsidDel="00000000" w:rsidP="00000000" w:rsidRDefault="00000000" w:rsidRPr="00000000">
      <w:pPr>
        <w:pStyle w:val="Heading2"/>
        <w:contextualSpacing w:val="0"/>
        <w:rPr>
          <w:b w:val="0"/>
          <w:sz w:val="20"/>
          <w:szCs w:val="20"/>
          <w:highlight w:val="white"/>
        </w:rPr>
      </w:pPr>
      <w:bookmarkStart w:colFirst="0" w:colLast="0" w:name="_741bf24z7kc1" w:id="4"/>
      <w:bookmarkEnd w:id="4"/>
      <w:r w:rsidDel="00000000" w:rsidR="00000000" w:rsidRPr="00000000">
        <w:rPr>
          <w:rtl w:val="0"/>
        </w:rPr>
        <w:t xml:space="preserve">Credit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What Is Credit?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Development of Credit: Past to Present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Vocabulary used in Credit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Advantages vs. Disadvantages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Types and Sources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Kinds of credit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Open-ended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types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Closed-end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Service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Credit Card Term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APR, Grace Period, Annual fees, transaction fees, late fees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Sources of credit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Retail stores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Credit card companies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Banks and Credit Unions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Finance companies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Pawnbrokers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Credit Score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is it?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before="0" w:line="240" w:lineRule="auto"/>
        <w:ind w:left="1440" w:hanging="360"/>
        <w:rPr>
          <w:highlight w:val="white"/>
        </w:rPr>
      </w:pPr>
      <w:r w:rsidDel="00000000" w:rsidR="00000000" w:rsidRPr="00000000">
        <w:rPr>
          <w:color w:val="212121"/>
          <w:rtl w:val="0"/>
        </w:rPr>
        <w:t xml:space="preserve">How does it help? Why do i need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different scores: FICO and VantageScore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does the score represent?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Factors of calculating credit score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u w:val="single"/>
          <w:rtl w:val="0"/>
        </w:rPr>
        <w:t xml:space="preserve">NON</w:t>
      </w:r>
      <w:r w:rsidDel="00000000" w:rsidR="00000000" w:rsidRPr="00000000">
        <w:rPr>
          <w:highlight w:val="white"/>
          <w:rtl w:val="0"/>
        </w:rPr>
        <w:t xml:space="preserve">-factors when calculating credit score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Credit History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Credit Records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Credit Bureaus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3" name="image4.png"/>
          <a:graphic>
            <a:graphicData uri="http://schemas.openxmlformats.org/drawingml/2006/picture">
              <pic:pic>
                <pic:nvPicPr>
                  <pic:cNvPr descr="footer lin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contextualSpacing w:val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1" name="image2.png"/>
          <a:graphic>
            <a:graphicData uri="http://schemas.openxmlformats.org/drawingml/2006/picture">
              <pic:pic>
                <pic:nvPicPr>
                  <pic:cNvPr descr="foot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contextualSpacing w:val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bookmarkStart w:colFirst="0" w:colLast="0" w:name="_i9npdp6lp7kp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2" name="image3.png"/>
          <a:graphic>
            <a:graphicData uri="http://schemas.openxmlformats.org/drawingml/2006/picture">
              <pic:pic>
                <pic:nvPicPr>
                  <pic:cNvPr descr="head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6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